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ageBreakBefore w:val="0"/>
        <w:widowControl w:val="0"/>
        <w:kinsoku/>
        <w:wordWrap/>
        <w:overflowPunct/>
        <w:topLinePunct w:val="0"/>
        <w:autoSpaceDE/>
        <w:autoSpaceDN/>
        <w:bidi w:val="0"/>
        <w:adjustRightInd/>
        <w:snapToGrid/>
        <w:spacing w:line="400" w:lineRule="exact"/>
        <w:ind w:firstLine="643" w:firstLineChars="200"/>
        <w:jc w:val="center"/>
        <w:textAlignment w:val="auto"/>
        <w:rPr>
          <w:rFonts w:hint="eastAsia" w:ascii="仿宋" w:hAnsi="仿宋" w:eastAsia="仿宋" w:cs="仿宋"/>
          <w:b/>
          <w:bCs/>
          <w:sz w:val="32"/>
          <w:szCs w:val="32"/>
        </w:rPr>
      </w:pPr>
    </w:p>
    <w:p>
      <w:pPr>
        <w:pageBreakBefore w:val="0"/>
        <w:widowControl w:val="0"/>
        <w:kinsoku/>
        <w:wordWrap/>
        <w:overflowPunct/>
        <w:topLinePunct w:val="0"/>
        <w:autoSpaceDE/>
        <w:autoSpaceDN/>
        <w:bidi w:val="0"/>
        <w:adjustRightInd/>
        <w:snapToGrid/>
        <w:ind w:firstLine="720" w:firstLineChars="200"/>
        <w:jc w:val="center"/>
        <w:textAlignment w:val="auto"/>
        <w:rPr>
          <w:rFonts w:hint="eastAsia" w:ascii="仿宋" w:hAnsi="仿宋" w:eastAsia="仿宋" w:cs="仿宋"/>
          <w:sz w:val="36"/>
          <w:szCs w:val="36"/>
          <w:lang w:eastAsia="zh-CN"/>
        </w:rPr>
      </w:pPr>
      <w:r>
        <w:rPr>
          <w:rFonts w:hint="eastAsia" w:ascii="仿宋" w:hAnsi="仿宋" w:eastAsia="仿宋" w:cs="仿宋"/>
          <w:sz w:val="36"/>
          <w:szCs w:val="36"/>
          <w:lang w:eastAsia="zh-CN"/>
        </w:rPr>
        <w:t>共青团景德镇市委</w:t>
      </w:r>
      <w:r>
        <w:rPr>
          <w:rFonts w:hint="eastAsia" w:ascii="仿宋" w:hAnsi="仿宋" w:eastAsia="仿宋" w:cs="仿宋"/>
          <w:sz w:val="36"/>
          <w:szCs w:val="36"/>
          <w:lang w:val="en-US" w:eastAsia="zh-CN"/>
        </w:rPr>
        <w:t>2020</w:t>
      </w:r>
      <w:r>
        <w:rPr>
          <w:rFonts w:hint="eastAsia" w:ascii="仿宋" w:hAnsi="仿宋" w:eastAsia="仿宋" w:cs="仿宋"/>
          <w:sz w:val="36"/>
          <w:szCs w:val="36"/>
          <w:lang w:eastAsia="zh-CN"/>
        </w:rPr>
        <w:t>年部门预算编制说明</w:t>
      </w:r>
    </w:p>
    <w:p>
      <w:pPr>
        <w:pageBreakBefore w:val="0"/>
        <w:widowControl w:val="0"/>
        <w:kinsoku/>
        <w:wordWrap/>
        <w:overflowPunct/>
        <w:topLinePunct w:val="0"/>
        <w:autoSpaceDE/>
        <w:autoSpaceDN/>
        <w:bidi w:val="0"/>
        <w:adjustRightInd/>
        <w:snapToGrid/>
        <w:spacing w:before="240"/>
        <w:ind w:firstLine="643" w:firstLineChars="200"/>
        <w:jc w:val="center"/>
        <w:textAlignment w:val="auto"/>
        <w:rPr>
          <w:rFonts w:hint="eastAsia" w:ascii="仿宋" w:hAnsi="仿宋" w:eastAsia="仿宋" w:cs="仿宋"/>
          <w:b/>
          <w:bCs/>
          <w:sz w:val="32"/>
          <w:szCs w:val="32"/>
        </w:rPr>
      </w:pPr>
      <w:r>
        <w:rPr>
          <w:rFonts w:hint="eastAsia" w:ascii="仿宋" w:hAnsi="仿宋" w:eastAsia="仿宋" w:cs="仿宋"/>
          <w:b/>
          <w:bCs/>
          <w:sz w:val="32"/>
          <w:szCs w:val="32"/>
        </w:rPr>
        <w:t>目</w:t>
      </w:r>
      <w:r>
        <w:rPr>
          <w:rFonts w:hint="eastAsia" w:ascii="仿宋" w:hAnsi="仿宋" w:eastAsia="仿宋" w:cs="仿宋"/>
          <w:b/>
          <w:bCs/>
          <w:sz w:val="32"/>
          <w:szCs w:val="32"/>
        </w:rPr>
        <w:t xml:space="preserve">   </w:t>
      </w:r>
      <w:r>
        <w:rPr>
          <w:rFonts w:hint="eastAsia" w:ascii="仿宋" w:hAnsi="仿宋" w:eastAsia="仿宋" w:cs="仿宋"/>
          <w:b/>
          <w:bCs/>
          <w:sz w:val="32"/>
          <w:szCs w:val="32"/>
        </w:rPr>
        <w:t>录</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第一部分</w:t>
      </w:r>
      <w:r>
        <w:rPr>
          <w:rFonts w:hint="eastAsia" w:ascii="仿宋" w:hAnsi="仿宋" w:eastAsia="仿宋" w:cs="仿宋"/>
          <w:sz w:val="32"/>
          <w:szCs w:val="32"/>
        </w:rPr>
        <w:t xml:space="preserve"> </w:t>
      </w:r>
      <w:r>
        <w:rPr>
          <w:rFonts w:hint="eastAsia" w:ascii="仿宋" w:hAnsi="仿宋" w:eastAsia="仿宋" w:cs="仿宋"/>
          <w:sz w:val="32"/>
          <w:szCs w:val="32"/>
          <w:lang w:eastAsia="zh-CN"/>
        </w:rPr>
        <w:t>共青团</w:t>
      </w:r>
      <w:r>
        <w:rPr>
          <w:rFonts w:hint="eastAsia" w:ascii="仿宋" w:hAnsi="仿宋" w:eastAsia="仿宋" w:cs="仿宋"/>
          <w:sz w:val="32"/>
          <w:szCs w:val="32"/>
        </w:rPr>
        <w:t>景德镇市</w:t>
      </w:r>
      <w:r>
        <w:rPr>
          <w:rFonts w:hint="eastAsia" w:ascii="仿宋" w:hAnsi="仿宋" w:eastAsia="仿宋" w:cs="仿宋"/>
          <w:sz w:val="32"/>
          <w:szCs w:val="32"/>
          <w:lang w:eastAsia="zh-CN"/>
        </w:rPr>
        <w:t>委</w:t>
      </w:r>
      <w:r>
        <w:rPr>
          <w:rFonts w:hint="eastAsia" w:ascii="仿宋" w:hAnsi="仿宋" w:eastAsia="仿宋" w:cs="仿宋"/>
          <w:sz w:val="32"/>
          <w:szCs w:val="32"/>
        </w:rPr>
        <w:t>概况</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t>一、部门主要职责</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t>二、部门基本情况</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第二部分</w:t>
      </w:r>
      <w:r>
        <w:rPr>
          <w:rFonts w:hint="eastAsia" w:ascii="仿宋" w:hAnsi="仿宋" w:eastAsia="仿宋" w:cs="仿宋"/>
          <w:sz w:val="32"/>
          <w:szCs w:val="32"/>
        </w:rPr>
        <w:t xml:space="preserve"> </w:t>
      </w:r>
      <w:r>
        <w:rPr>
          <w:rFonts w:hint="eastAsia" w:ascii="仿宋" w:hAnsi="仿宋" w:eastAsia="仿宋" w:cs="仿宋"/>
          <w:sz w:val="32"/>
          <w:szCs w:val="32"/>
          <w:lang w:eastAsia="zh-CN"/>
        </w:rPr>
        <w:t>共青团</w:t>
      </w:r>
      <w:r>
        <w:rPr>
          <w:rFonts w:hint="eastAsia" w:ascii="仿宋" w:hAnsi="仿宋" w:eastAsia="仿宋" w:cs="仿宋"/>
          <w:sz w:val="32"/>
          <w:szCs w:val="32"/>
        </w:rPr>
        <w:t>景德镇市</w:t>
      </w:r>
      <w:r>
        <w:rPr>
          <w:rFonts w:hint="eastAsia" w:ascii="仿宋" w:hAnsi="仿宋" w:eastAsia="仿宋" w:cs="仿宋"/>
          <w:sz w:val="32"/>
          <w:szCs w:val="32"/>
          <w:lang w:eastAsia="zh-CN"/>
        </w:rPr>
        <w:t>委</w:t>
      </w:r>
      <w:r>
        <w:rPr>
          <w:rFonts w:hint="eastAsia" w:ascii="仿宋" w:hAnsi="仿宋" w:eastAsia="仿宋" w:cs="仿宋"/>
          <w:sz w:val="32"/>
          <w:szCs w:val="32"/>
          <w:lang w:val="en-US" w:eastAsia="zh-CN"/>
        </w:rPr>
        <w:t>2020</w:t>
      </w:r>
      <w:r>
        <w:rPr>
          <w:rFonts w:hint="eastAsia" w:ascii="仿宋" w:hAnsi="仿宋" w:eastAsia="仿宋" w:cs="仿宋"/>
          <w:sz w:val="32"/>
          <w:szCs w:val="32"/>
        </w:rPr>
        <w:t>年部门预算情况说明</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一、2020年部门预算收支情况说明</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lang w:eastAsia="zh-CN"/>
        </w:rPr>
      </w:pPr>
      <w:r>
        <w:rPr>
          <w:rFonts w:hint="eastAsia" w:ascii="仿宋" w:hAnsi="仿宋" w:eastAsia="仿宋" w:cs="仿宋"/>
          <w:sz w:val="32"/>
          <w:szCs w:val="32"/>
          <w:lang w:val="en-US" w:eastAsia="zh-CN"/>
        </w:rPr>
        <w:t>二、2020</w:t>
      </w:r>
      <w:r>
        <w:rPr>
          <w:rFonts w:hint="eastAsia" w:ascii="仿宋" w:hAnsi="仿宋" w:eastAsia="仿宋" w:cs="仿宋"/>
          <w:sz w:val="32"/>
          <w:szCs w:val="32"/>
        </w:rPr>
        <w:t>年</w:t>
      </w:r>
      <w:r>
        <w:rPr>
          <w:rFonts w:hint="eastAsia" w:ascii="仿宋" w:hAnsi="仿宋" w:eastAsia="仿宋" w:cs="仿宋"/>
          <w:sz w:val="32"/>
          <w:szCs w:val="32"/>
          <w:lang w:eastAsia="zh-CN"/>
        </w:rPr>
        <w:t>“三公”经费预算情况说明</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第三部分</w:t>
      </w:r>
      <w:r>
        <w:rPr>
          <w:rFonts w:hint="eastAsia" w:ascii="仿宋" w:hAnsi="仿宋" w:eastAsia="仿宋" w:cs="仿宋"/>
          <w:sz w:val="32"/>
          <w:szCs w:val="32"/>
        </w:rPr>
        <w:t xml:space="preserve"> </w:t>
      </w:r>
      <w:r>
        <w:rPr>
          <w:rFonts w:hint="eastAsia" w:ascii="仿宋" w:hAnsi="仿宋" w:eastAsia="仿宋" w:cs="仿宋"/>
          <w:sz w:val="32"/>
          <w:szCs w:val="32"/>
          <w:lang w:eastAsia="zh-CN"/>
        </w:rPr>
        <w:t>共青团</w:t>
      </w:r>
      <w:r>
        <w:rPr>
          <w:rFonts w:hint="eastAsia" w:ascii="仿宋" w:hAnsi="仿宋" w:eastAsia="仿宋" w:cs="仿宋"/>
          <w:sz w:val="32"/>
          <w:szCs w:val="32"/>
        </w:rPr>
        <w:t>景德镇市</w:t>
      </w:r>
      <w:r>
        <w:rPr>
          <w:rFonts w:hint="eastAsia" w:ascii="仿宋" w:hAnsi="仿宋" w:eastAsia="仿宋" w:cs="仿宋"/>
          <w:sz w:val="32"/>
          <w:szCs w:val="32"/>
          <w:lang w:eastAsia="zh-CN"/>
        </w:rPr>
        <w:t>委</w:t>
      </w:r>
      <w:r>
        <w:rPr>
          <w:rFonts w:hint="eastAsia" w:ascii="仿宋" w:hAnsi="仿宋" w:eastAsia="仿宋" w:cs="仿宋"/>
          <w:sz w:val="32"/>
          <w:szCs w:val="32"/>
          <w:lang w:val="en-US" w:eastAsia="zh-CN"/>
        </w:rPr>
        <w:t>2020</w:t>
      </w:r>
      <w:r>
        <w:rPr>
          <w:rFonts w:hint="eastAsia" w:ascii="仿宋" w:hAnsi="仿宋" w:eastAsia="仿宋" w:cs="仿宋"/>
          <w:sz w:val="32"/>
          <w:szCs w:val="32"/>
        </w:rPr>
        <w:t>年部门预算表</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一、收支预算总表</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二、部门收入总表</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三、部门支出总表</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四、财政拨款收支总表</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五、一般公共预算支出表</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六、一般公共预算基本支出表</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七、一般公共预算“三公”经费支出表</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八、政府性基金预算支出表</w:t>
      </w:r>
    </w:p>
    <w:p>
      <w:pPr>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b/>
          <w:bCs/>
          <w:sz w:val="32"/>
          <w:szCs w:val="32"/>
        </w:rPr>
      </w:pPr>
      <w:r>
        <w:rPr>
          <w:rFonts w:hint="eastAsia" w:ascii="仿宋" w:hAnsi="仿宋" w:eastAsia="仿宋" w:cs="仿宋"/>
          <w:sz w:val="32"/>
          <w:szCs w:val="32"/>
        </w:rPr>
        <w:t>第四部分</w:t>
      </w:r>
      <w:r>
        <w:rPr>
          <w:rFonts w:hint="eastAsia" w:ascii="仿宋" w:hAnsi="仿宋" w:eastAsia="仿宋" w:cs="仿宋"/>
          <w:sz w:val="32"/>
          <w:szCs w:val="32"/>
        </w:rPr>
        <w:t xml:space="preserve"> </w:t>
      </w:r>
      <w:r>
        <w:rPr>
          <w:rFonts w:hint="eastAsia" w:ascii="仿宋" w:hAnsi="仿宋" w:eastAsia="仿宋" w:cs="仿宋"/>
          <w:sz w:val="32"/>
          <w:szCs w:val="32"/>
        </w:rPr>
        <w:t>名词解释</w:t>
      </w:r>
    </w:p>
    <w:p>
      <w:pPr>
        <w:pageBreakBefore w:val="0"/>
        <w:widowControl w:val="0"/>
        <w:kinsoku/>
        <w:wordWrap/>
        <w:overflowPunct/>
        <w:topLinePunct w:val="0"/>
        <w:autoSpaceDE/>
        <w:autoSpaceDN/>
        <w:bidi w:val="0"/>
        <w:adjustRightInd/>
        <w:snapToGrid/>
        <w:textAlignment w:val="auto"/>
        <w:rPr>
          <w:rFonts w:hint="eastAsia" w:ascii="仿宋" w:hAnsi="仿宋" w:eastAsia="仿宋" w:cs="仿宋"/>
          <w:sz w:val="32"/>
          <w:szCs w:val="32"/>
        </w:rPr>
      </w:pPr>
    </w:p>
    <w:p>
      <w:pPr>
        <w:pageBreakBefore w:val="0"/>
        <w:widowControl w:val="0"/>
        <w:kinsoku/>
        <w:wordWrap/>
        <w:overflowPunct/>
        <w:topLinePunct w:val="0"/>
        <w:autoSpaceDE/>
        <w:autoSpaceDN/>
        <w:bidi w:val="0"/>
        <w:adjustRightInd/>
        <w:snapToGrid/>
        <w:ind w:firstLine="1600" w:firstLineChars="500"/>
        <w:jc w:val="both"/>
        <w:textAlignment w:val="auto"/>
        <w:rPr>
          <w:rFonts w:hint="eastAsia" w:ascii="仿宋" w:hAnsi="仿宋" w:eastAsia="仿宋" w:cs="仿宋"/>
          <w:sz w:val="32"/>
          <w:szCs w:val="32"/>
        </w:rPr>
      </w:pPr>
      <w:r>
        <w:rPr>
          <w:rFonts w:hint="eastAsia" w:ascii="仿宋" w:hAnsi="仿宋" w:eastAsia="仿宋" w:cs="仿宋"/>
          <w:sz w:val="32"/>
          <w:szCs w:val="32"/>
        </w:rPr>
        <w:t>第一部分</w:t>
      </w:r>
      <w:r>
        <w:rPr>
          <w:rFonts w:hint="eastAsia" w:ascii="仿宋" w:hAnsi="仿宋" w:eastAsia="仿宋" w:cs="仿宋"/>
          <w:sz w:val="32"/>
          <w:szCs w:val="32"/>
        </w:rPr>
        <w:t xml:space="preserve">  </w:t>
      </w:r>
      <w:r>
        <w:rPr>
          <w:rFonts w:hint="eastAsia" w:ascii="仿宋" w:hAnsi="仿宋" w:eastAsia="仿宋" w:cs="仿宋"/>
          <w:sz w:val="32"/>
          <w:szCs w:val="32"/>
          <w:lang w:eastAsia="zh-CN"/>
        </w:rPr>
        <w:t>共青团</w:t>
      </w:r>
      <w:r>
        <w:rPr>
          <w:rFonts w:hint="eastAsia" w:ascii="仿宋" w:hAnsi="仿宋" w:eastAsia="仿宋" w:cs="仿宋"/>
          <w:sz w:val="32"/>
          <w:szCs w:val="32"/>
        </w:rPr>
        <w:t>景德镇市</w:t>
      </w:r>
      <w:r>
        <w:rPr>
          <w:rFonts w:hint="eastAsia" w:ascii="仿宋" w:hAnsi="仿宋" w:eastAsia="仿宋" w:cs="仿宋"/>
          <w:sz w:val="32"/>
          <w:szCs w:val="32"/>
          <w:lang w:eastAsia="zh-CN"/>
        </w:rPr>
        <w:t>委</w:t>
      </w:r>
      <w:r>
        <w:rPr>
          <w:rFonts w:hint="eastAsia" w:ascii="仿宋" w:hAnsi="仿宋" w:eastAsia="仿宋" w:cs="仿宋"/>
          <w:sz w:val="32"/>
          <w:szCs w:val="32"/>
        </w:rPr>
        <w:t>概况</w:t>
      </w:r>
    </w:p>
    <w:p>
      <w:pPr>
        <w:pageBreakBefore w:val="0"/>
        <w:widowControl w:val="0"/>
        <w:kinsoku/>
        <w:wordWrap/>
        <w:overflowPunct/>
        <w:topLinePunct w:val="0"/>
        <w:autoSpaceDE/>
        <w:autoSpaceDN/>
        <w:bidi w:val="0"/>
        <w:adjustRightInd/>
        <w:snapToGrid/>
        <w:ind w:firstLine="643" w:firstLineChars="200"/>
        <w:textAlignment w:val="auto"/>
        <w:rPr>
          <w:rFonts w:hint="eastAsia" w:ascii="仿宋" w:hAnsi="仿宋" w:eastAsia="仿宋" w:cs="仿宋"/>
          <w:i w:val="0"/>
          <w:caps w:val="0"/>
          <w:color w:val="333333"/>
          <w:spacing w:val="0"/>
          <w:sz w:val="18"/>
          <w:szCs w:val="18"/>
        </w:rPr>
      </w:pPr>
      <w:r>
        <w:rPr>
          <w:rFonts w:hint="eastAsia" w:ascii="仿宋" w:hAnsi="仿宋" w:eastAsia="仿宋" w:cs="仿宋"/>
          <w:b/>
          <w:bCs/>
          <w:sz w:val="32"/>
          <w:szCs w:val="32"/>
        </w:rPr>
        <w:t>一、部门主要职责</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中国共产主义青年团景德镇市委员会的基本社会职能是：</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　　（一）领导全市共青团、青联、学联和少先队工作，对全市性青少年社团组织进行指导和管理。</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　　（二）贯彻执行党的基本路线、方针和政策，组织实施市委、市政府和团省委部署的各项任务。</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　　（三）组织和带领广大团员青年积极投身改革开放和现代化建设，为景德镇经济和社会发展服务。</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　　（四）负责全市团组织建设，加强对全市团员队伍、团干部队伍建设和基层团组织建设的领导；向党组织推荐输送优秀青年干部和优秀团员。</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　　（五）调查青少年思想动态和青少年工作情况，研究青少年工作理论和思想教育，为市委、市政府决策青少年事务提供参考和依据。</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　　（六）关心青少年利益，保护青少年的合法权益，协助有关部门处理、协调与青少年利益相关的事务。</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　　（七）开展青年志愿者、希望工程、青年文明号创建等品牌活动，促进社会文明进步。</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　　（八）完成市委、市政府和团省委交办的其他工作。</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二、部门基本情况</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本部门共有预算单位2个</w:t>
      </w:r>
      <w:r>
        <w:rPr>
          <w:rFonts w:hint="eastAsia" w:ascii="仿宋" w:hAnsi="仿宋" w:eastAsia="仿宋" w:cs="仿宋"/>
          <w:sz w:val="28"/>
          <w:szCs w:val="28"/>
          <w:lang w:eastAsia="zh-CN"/>
        </w:rPr>
        <w:t>，</w:t>
      </w:r>
      <w:r>
        <w:rPr>
          <w:rFonts w:hint="eastAsia" w:ascii="仿宋" w:hAnsi="仿宋" w:eastAsia="仿宋" w:cs="仿宋"/>
          <w:sz w:val="28"/>
          <w:szCs w:val="28"/>
        </w:rPr>
        <w:t>即部门本级和1个二级单位。编制数为37人</w:t>
      </w:r>
      <w:r>
        <w:rPr>
          <w:rFonts w:hint="eastAsia" w:ascii="仿宋" w:hAnsi="仿宋" w:eastAsia="仿宋" w:cs="仿宋"/>
          <w:sz w:val="28"/>
          <w:szCs w:val="28"/>
          <w:lang w:eastAsia="zh-CN"/>
        </w:rPr>
        <w:t>，</w:t>
      </w:r>
      <w:r>
        <w:rPr>
          <w:rFonts w:hint="eastAsia" w:ascii="仿宋" w:hAnsi="仿宋" w:eastAsia="仿宋" w:cs="仿宋"/>
          <w:sz w:val="28"/>
          <w:szCs w:val="28"/>
        </w:rPr>
        <w:t>其中行政编制10人、全额补助事业编制27人。实有人数44人</w:t>
      </w:r>
      <w:r>
        <w:rPr>
          <w:rFonts w:hint="eastAsia" w:ascii="仿宋" w:hAnsi="仿宋" w:eastAsia="仿宋" w:cs="仿宋"/>
          <w:sz w:val="28"/>
          <w:szCs w:val="28"/>
          <w:lang w:eastAsia="zh-CN"/>
        </w:rPr>
        <w:t>，</w:t>
      </w:r>
      <w:r>
        <w:rPr>
          <w:rFonts w:hint="eastAsia" w:ascii="仿宋" w:hAnsi="仿宋" w:eastAsia="仿宋" w:cs="仿宋"/>
          <w:sz w:val="28"/>
          <w:szCs w:val="28"/>
        </w:rPr>
        <w:t>其中在职33人</w:t>
      </w:r>
      <w:r>
        <w:rPr>
          <w:rFonts w:hint="eastAsia" w:ascii="仿宋" w:hAnsi="仿宋" w:eastAsia="仿宋" w:cs="仿宋"/>
          <w:sz w:val="28"/>
          <w:szCs w:val="28"/>
          <w:lang w:eastAsia="zh-CN"/>
        </w:rPr>
        <w:t>，</w:t>
      </w:r>
      <w:r>
        <w:rPr>
          <w:rFonts w:hint="eastAsia" w:ascii="仿宋" w:hAnsi="仿宋" w:eastAsia="仿宋" w:cs="仿宋"/>
          <w:sz w:val="28"/>
          <w:szCs w:val="28"/>
        </w:rPr>
        <w:t>包括行政9人</w:t>
      </w:r>
      <w:r>
        <w:rPr>
          <w:rFonts w:hint="eastAsia" w:ascii="仿宋" w:hAnsi="仿宋" w:eastAsia="仿宋" w:cs="仿宋"/>
          <w:sz w:val="28"/>
          <w:szCs w:val="28"/>
          <w:lang w:eastAsia="zh-CN"/>
        </w:rPr>
        <w:t>、</w:t>
      </w:r>
      <w:r>
        <w:rPr>
          <w:rFonts w:hint="eastAsia" w:ascii="仿宋" w:hAnsi="仿宋" w:eastAsia="仿宋" w:cs="仿宋"/>
          <w:sz w:val="28"/>
          <w:szCs w:val="28"/>
        </w:rPr>
        <w:t>全额补助24人；退休11人。</w:t>
      </w:r>
    </w:p>
    <w:p>
      <w:pPr>
        <w:pStyle w:val="4"/>
        <w:keepNext w:val="0"/>
        <w:keepLines w:val="0"/>
        <w:widowControl/>
        <w:suppressLineNumbers w:val="0"/>
        <w:shd w:val="clear" w:fill="FFFFFF"/>
        <w:ind w:left="0" w:firstLine="640" w:firstLineChars="200"/>
        <w:jc w:val="left"/>
        <w:rPr>
          <w:rFonts w:hint="eastAsia" w:ascii="仿宋" w:hAnsi="仿宋" w:eastAsia="仿宋" w:cs="仿宋"/>
          <w:sz w:val="32"/>
          <w:szCs w:val="32"/>
        </w:rPr>
      </w:pPr>
      <w:r>
        <w:rPr>
          <w:rFonts w:hint="eastAsia" w:ascii="仿宋" w:hAnsi="仿宋" w:eastAsia="仿宋" w:cs="仿宋"/>
          <w:sz w:val="32"/>
          <w:szCs w:val="32"/>
        </w:rPr>
        <w:t>第二部分</w:t>
      </w:r>
      <w:r>
        <w:rPr>
          <w:rFonts w:hint="eastAsia" w:ascii="仿宋" w:hAnsi="仿宋" w:eastAsia="仿宋" w:cs="仿宋"/>
          <w:sz w:val="32"/>
          <w:szCs w:val="32"/>
          <w:lang w:val="en-US" w:eastAsia="zh-CN"/>
        </w:rPr>
        <w:t xml:space="preserve"> </w:t>
      </w:r>
      <w:r>
        <w:rPr>
          <w:rFonts w:hint="eastAsia" w:ascii="仿宋" w:hAnsi="仿宋" w:eastAsia="仿宋" w:cs="仿宋"/>
          <w:sz w:val="32"/>
          <w:szCs w:val="32"/>
          <w:lang w:eastAsia="zh-CN"/>
        </w:rPr>
        <w:t>共青团景德镇市委</w:t>
      </w:r>
      <w:r>
        <w:rPr>
          <w:rFonts w:hint="eastAsia" w:ascii="仿宋" w:hAnsi="仿宋" w:eastAsia="仿宋" w:cs="仿宋"/>
          <w:sz w:val="32"/>
          <w:szCs w:val="32"/>
          <w:lang w:val="en-US" w:eastAsia="zh-CN"/>
        </w:rPr>
        <w:t>2020</w:t>
      </w:r>
      <w:r>
        <w:rPr>
          <w:rFonts w:hint="eastAsia" w:ascii="仿宋" w:hAnsi="仿宋" w:eastAsia="仿宋" w:cs="仿宋"/>
          <w:sz w:val="32"/>
          <w:szCs w:val="32"/>
        </w:rPr>
        <w:t>年部门预算情况说明</w:t>
      </w:r>
    </w:p>
    <w:p>
      <w:pPr>
        <w:keepNext w:val="0"/>
        <w:keepLines w:val="0"/>
        <w:pageBreakBefore w:val="0"/>
        <w:widowControl w:val="0"/>
        <w:kinsoku/>
        <w:wordWrap/>
        <w:overflowPunct/>
        <w:topLinePunct w:val="0"/>
        <w:autoSpaceDE/>
        <w:autoSpaceDN/>
        <w:bidi w:val="0"/>
        <w:adjustRightInd/>
        <w:snapToGrid/>
        <w:spacing w:line="410" w:lineRule="exact"/>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、2020年部门预算收支情况</w:t>
      </w:r>
    </w:p>
    <w:p>
      <w:pPr>
        <w:keepNext w:val="0"/>
        <w:keepLines w:val="0"/>
        <w:pageBreakBefore w:val="0"/>
        <w:widowControl w:val="0"/>
        <w:kinsoku/>
        <w:wordWrap/>
        <w:overflowPunct/>
        <w:topLinePunct w:val="0"/>
        <w:autoSpaceDE/>
        <w:autoSpaceDN/>
        <w:bidi w:val="0"/>
        <w:adjustRightInd/>
        <w:snapToGrid/>
        <w:spacing w:line="386" w:lineRule="exac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rPr>
        <w:t>（一）收入预算情况</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2020年收入预算总额470.24万元</w:t>
      </w:r>
      <w:r>
        <w:rPr>
          <w:rFonts w:hint="eastAsia" w:ascii="仿宋" w:hAnsi="仿宋" w:eastAsia="仿宋" w:cs="仿宋"/>
          <w:sz w:val="28"/>
          <w:szCs w:val="28"/>
          <w:lang w:eastAsia="zh-CN"/>
        </w:rPr>
        <w:t>，</w:t>
      </w:r>
      <w:r>
        <w:rPr>
          <w:rFonts w:hint="eastAsia" w:ascii="仿宋" w:hAnsi="仿宋" w:eastAsia="仿宋" w:cs="仿宋"/>
          <w:sz w:val="28"/>
          <w:szCs w:val="28"/>
        </w:rPr>
        <w:t>按照收入来源划分:</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当年公共财政拨款收入470.24万元</w:t>
      </w:r>
      <w:r>
        <w:rPr>
          <w:rFonts w:hint="eastAsia" w:ascii="仿宋" w:hAnsi="仿宋" w:eastAsia="仿宋" w:cs="仿宋"/>
          <w:sz w:val="28"/>
          <w:szCs w:val="28"/>
          <w:lang w:eastAsia="zh-CN"/>
        </w:rPr>
        <w:t>，</w:t>
      </w:r>
      <w:r>
        <w:rPr>
          <w:rFonts w:hint="eastAsia" w:ascii="仿宋" w:hAnsi="仿宋" w:eastAsia="仿宋" w:cs="仿宋"/>
          <w:sz w:val="28"/>
          <w:szCs w:val="28"/>
        </w:rPr>
        <w:t>占收入预算总额的100.00%</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86" w:lineRule="exac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rPr>
        <w:t>（二）支出预算情况</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2020年支出预算总额470.24万元</w:t>
      </w:r>
      <w:r>
        <w:rPr>
          <w:rFonts w:hint="eastAsia" w:ascii="仿宋" w:hAnsi="仿宋" w:eastAsia="仿宋" w:cs="仿宋"/>
          <w:sz w:val="28"/>
          <w:szCs w:val="28"/>
          <w:lang w:eastAsia="zh-CN"/>
        </w:rPr>
        <w:t>，</w:t>
      </w:r>
      <w:r>
        <w:rPr>
          <w:rFonts w:hint="eastAsia" w:ascii="仿宋" w:hAnsi="仿宋" w:eastAsia="仿宋" w:cs="仿宋"/>
          <w:sz w:val="28"/>
          <w:szCs w:val="28"/>
        </w:rPr>
        <w:t>按支出项目类别划分:</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1、基本支出397.24万元</w:t>
      </w:r>
      <w:r>
        <w:rPr>
          <w:rFonts w:hint="eastAsia" w:ascii="仿宋" w:hAnsi="仿宋" w:eastAsia="仿宋" w:cs="仿宋"/>
          <w:sz w:val="28"/>
          <w:szCs w:val="28"/>
          <w:lang w:eastAsia="zh-CN"/>
        </w:rPr>
        <w:t>，</w:t>
      </w:r>
      <w:r>
        <w:rPr>
          <w:rFonts w:hint="eastAsia" w:ascii="仿宋" w:hAnsi="仿宋" w:eastAsia="仿宋" w:cs="仿宋"/>
          <w:sz w:val="28"/>
          <w:szCs w:val="28"/>
        </w:rPr>
        <w:t>占支出预算总额的84.48%</w:t>
      </w:r>
      <w:r>
        <w:rPr>
          <w:rFonts w:hint="eastAsia" w:ascii="仿宋" w:hAnsi="仿宋" w:eastAsia="仿宋" w:cs="仿宋"/>
          <w:sz w:val="28"/>
          <w:szCs w:val="28"/>
          <w:lang w:eastAsia="zh-CN"/>
        </w:rPr>
        <w:t>，</w:t>
      </w:r>
      <w:r>
        <w:rPr>
          <w:rFonts w:hint="eastAsia" w:ascii="仿宋" w:hAnsi="仿宋" w:eastAsia="仿宋" w:cs="仿宋"/>
          <w:sz w:val="28"/>
          <w:szCs w:val="28"/>
        </w:rPr>
        <w:t>其中:工资福利支出325.44万元</w:t>
      </w:r>
      <w:r>
        <w:rPr>
          <w:rFonts w:hint="eastAsia" w:ascii="仿宋" w:hAnsi="仿宋" w:eastAsia="仿宋" w:cs="仿宋"/>
          <w:sz w:val="28"/>
          <w:szCs w:val="28"/>
          <w:lang w:eastAsia="zh-CN"/>
        </w:rPr>
        <w:t>，</w:t>
      </w:r>
      <w:r>
        <w:rPr>
          <w:rFonts w:hint="eastAsia" w:ascii="仿宋" w:hAnsi="仿宋" w:eastAsia="仿宋" w:cs="仿宋"/>
          <w:sz w:val="28"/>
          <w:szCs w:val="28"/>
        </w:rPr>
        <w:t>商品和服务支出70.72万元</w:t>
      </w:r>
      <w:r>
        <w:rPr>
          <w:rFonts w:hint="eastAsia" w:ascii="仿宋" w:hAnsi="仿宋" w:eastAsia="仿宋" w:cs="仿宋"/>
          <w:sz w:val="28"/>
          <w:szCs w:val="28"/>
          <w:lang w:eastAsia="zh-CN"/>
        </w:rPr>
        <w:t>，</w:t>
      </w:r>
      <w:r>
        <w:rPr>
          <w:rFonts w:hint="eastAsia" w:ascii="仿宋" w:hAnsi="仿宋" w:eastAsia="仿宋" w:cs="仿宋"/>
          <w:sz w:val="28"/>
          <w:szCs w:val="28"/>
        </w:rPr>
        <w:t>对个人和家庭的补助1.08万元</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2、项目支出73.00万元</w:t>
      </w:r>
      <w:r>
        <w:rPr>
          <w:rFonts w:hint="eastAsia" w:ascii="仿宋" w:hAnsi="仿宋" w:eastAsia="仿宋" w:cs="仿宋"/>
          <w:sz w:val="28"/>
          <w:szCs w:val="28"/>
          <w:lang w:eastAsia="zh-CN"/>
        </w:rPr>
        <w:t>，</w:t>
      </w:r>
      <w:r>
        <w:rPr>
          <w:rFonts w:hint="eastAsia" w:ascii="仿宋" w:hAnsi="仿宋" w:eastAsia="仿宋" w:cs="仿宋"/>
          <w:sz w:val="28"/>
          <w:szCs w:val="28"/>
        </w:rPr>
        <w:t>占支出预算总额的15.52%</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86" w:lineRule="exact"/>
        <w:ind w:firstLine="562" w:firstLineChars="200"/>
        <w:textAlignment w:val="auto"/>
        <w:rPr>
          <w:rFonts w:hint="eastAsia" w:ascii="仿宋" w:hAnsi="仿宋" w:eastAsia="仿宋" w:cs="仿宋"/>
          <w:b/>
          <w:bCs/>
          <w:sz w:val="28"/>
          <w:szCs w:val="28"/>
          <w:lang w:eastAsia="zh-CN"/>
        </w:rPr>
      </w:pPr>
      <w:r>
        <w:rPr>
          <w:rFonts w:hint="eastAsia" w:ascii="仿宋" w:hAnsi="仿宋" w:eastAsia="仿宋" w:cs="仿宋"/>
          <w:b/>
          <w:bCs/>
          <w:sz w:val="28"/>
          <w:szCs w:val="28"/>
        </w:rPr>
        <w:t>（三）2020年公共财政拨款支出预算情况</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2020年公共财政拨款支出预算为470.24万元</w:t>
      </w:r>
      <w:r>
        <w:rPr>
          <w:rFonts w:hint="eastAsia" w:ascii="仿宋" w:hAnsi="仿宋" w:eastAsia="仿宋" w:cs="仿宋"/>
          <w:sz w:val="28"/>
          <w:szCs w:val="28"/>
          <w:lang w:eastAsia="zh-CN"/>
        </w:rPr>
        <w:t>，</w:t>
      </w:r>
      <w:r>
        <w:rPr>
          <w:rFonts w:hint="eastAsia" w:ascii="仿宋" w:hAnsi="仿宋" w:eastAsia="仿宋" w:cs="仿宋"/>
          <w:sz w:val="28"/>
          <w:szCs w:val="28"/>
        </w:rPr>
        <w:t>占支出预算总额的100.00%</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按支出功能科目分类:</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一</w:t>
      </w:r>
      <w:r>
        <w:rPr>
          <w:rFonts w:hint="eastAsia" w:ascii="仿宋" w:hAnsi="仿宋" w:eastAsia="仿宋" w:cs="仿宋"/>
          <w:spacing w:val="-11"/>
          <w:sz w:val="28"/>
          <w:szCs w:val="28"/>
        </w:rPr>
        <w:t>般公共服务支出382.43万元</w:t>
      </w:r>
      <w:r>
        <w:rPr>
          <w:rFonts w:hint="eastAsia" w:ascii="仿宋" w:hAnsi="仿宋" w:eastAsia="仿宋" w:cs="仿宋"/>
          <w:spacing w:val="-11"/>
          <w:sz w:val="28"/>
          <w:szCs w:val="28"/>
          <w:lang w:eastAsia="zh-CN"/>
        </w:rPr>
        <w:t>，</w:t>
      </w:r>
      <w:r>
        <w:rPr>
          <w:rFonts w:hint="eastAsia" w:ascii="仿宋" w:hAnsi="仿宋" w:eastAsia="仿宋" w:cs="仿宋"/>
          <w:spacing w:val="-11"/>
          <w:sz w:val="28"/>
          <w:szCs w:val="28"/>
        </w:rPr>
        <w:t>占公共财政拨款支出预算的81.33%</w:t>
      </w:r>
      <w:r>
        <w:rPr>
          <w:rFonts w:hint="eastAsia" w:ascii="仿宋" w:hAnsi="仿宋" w:eastAsia="仿宋" w:cs="仿宋"/>
          <w:spacing w:val="-11"/>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社</w:t>
      </w:r>
      <w:r>
        <w:rPr>
          <w:rFonts w:hint="eastAsia" w:ascii="仿宋" w:hAnsi="仿宋" w:eastAsia="仿宋" w:cs="仿宋"/>
          <w:spacing w:val="-11"/>
          <w:sz w:val="28"/>
          <w:szCs w:val="28"/>
        </w:rPr>
        <w:t>会保障和就业支出35.12万元</w:t>
      </w:r>
      <w:r>
        <w:rPr>
          <w:rFonts w:hint="eastAsia" w:ascii="仿宋" w:hAnsi="仿宋" w:eastAsia="仿宋" w:cs="仿宋"/>
          <w:spacing w:val="-11"/>
          <w:sz w:val="28"/>
          <w:szCs w:val="28"/>
          <w:lang w:eastAsia="zh-CN"/>
        </w:rPr>
        <w:t>，</w:t>
      </w:r>
      <w:r>
        <w:rPr>
          <w:rFonts w:hint="eastAsia" w:ascii="仿宋" w:hAnsi="仿宋" w:eastAsia="仿宋" w:cs="仿宋"/>
          <w:spacing w:val="-11"/>
          <w:sz w:val="28"/>
          <w:szCs w:val="28"/>
        </w:rPr>
        <w:t>占公共财政拨款支出预算的7.47%</w:t>
      </w:r>
      <w:r>
        <w:rPr>
          <w:rFonts w:hint="eastAsia" w:ascii="仿宋" w:hAnsi="仿宋" w:eastAsia="仿宋" w:cs="仿宋"/>
          <w:spacing w:val="-11"/>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卫生健康支出26.73万元</w:t>
      </w:r>
      <w:r>
        <w:rPr>
          <w:rFonts w:hint="eastAsia" w:ascii="仿宋" w:hAnsi="仿宋" w:eastAsia="仿宋" w:cs="仿宋"/>
          <w:sz w:val="28"/>
          <w:szCs w:val="28"/>
          <w:lang w:eastAsia="zh-CN"/>
        </w:rPr>
        <w:t>，</w:t>
      </w:r>
      <w:r>
        <w:rPr>
          <w:rFonts w:hint="eastAsia" w:ascii="仿宋" w:hAnsi="仿宋" w:eastAsia="仿宋" w:cs="仿宋"/>
          <w:sz w:val="28"/>
          <w:szCs w:val="28"/>
        </w:rPr>
        <w:t>占公共财政拨款支</w:t>
      </w:r>
      <w:bookmarkStart w:id="0" w:name="_GoBack"/>
      <w:bookmarkEnd w:id="0"/>
      <w:r>
        <w:rPr>
          <w:rFonts w:hint="eastAsia" w:ascii="仿宋" w:hAnsi="仿宋" w:eastAsia="仿宋" w:cs="仿宋"/>
          <w:sz w:val="28"/>
          <w:szCs w:val="28"/>
        </w:rPr>
        <w:t>出预算的5.68%</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rPr>
        <w:t>住房保障支出25.96万元</w:t>
      </w:r>
      <w:r>
        <w:rPr>
          <w:rFonts w:hint="eastAsia" w:ascii="仿宋" w:hAnsi="仿宋" w:eastAsia="仿宋" w:cs="仿宋"/>
          <w:sz w:val="28"/>
          <w:szCs w:val="28"/>
          <w:lang w:eastAsia="zh-CN"/>
        </w:rPr>
        <w:t>，</w:t>
      </w:r>
      <w:r>
        <w:rPr>
          <w:rFonts w:hint="eastAsia" w:ascii="仿宋" w:hAnsi="仿宋" w:eastAsia="仿宋" w:cs="仿宋"/>
          <w:sz w:val="28"/>
          <w:szCs w:val="28"/>
        </w:rPr>
        <w:t>占公共财政拨款支出预算的5.52%</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386"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（四）政府采购预算</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2020年政府采购预算为20.00万元</w:t>
      </w:r>
      <w:r>
        <w:rPr>
          <w:rFonts w:hint="eastAsia" w:ascii="仿宋" w:hAnsi="仿宋" w:eastAsia="仿宋" w:cs="仿宋"/>
          <w:sz w:val="28"/>
          <w:szCs w:val="28"/>
          <w:lang w:eastAsia="zh-CN"/>
        </w:rPr>
        <w:t>，</w:t>
      </w:r>
      <w:r>
        <w:rPr>
          <w:rFonts w:hint="eastAsia" w:ascii="仿宋" w:hAnsi="仿宋" w:eastAsia="仿宋" w:cs="仿宋"/>
          <w:sz w:val="28"/>
          <w:szCs w:val="28"/>
        </w:rPr>
        <w:t>其中:部门集中采购20.00万元。</w:t>
      </w:r>
    </w:p>
    <w:p>
      <w:pPr>
        <w:keepNext w:val="0"/>
        <w:keepLines w:val="0"/>
        <w:pageBreakBefore w:val="0"/>
        <w:widowControl w:val="0"/>
        <w:kinsoku/>
        <w:wordWrap/>
        <w:overflowPunct/>
        <w:topLinePunct w:val="0"/>
        <w:autoSpaceDE/>
        <w:autoSpaceDN/>
        <w:bidi w:val="0"/>
        <w:adjustRightInd/>
        <w:snapToGrid/>
        <w:spacing w:line="386"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（五）“三公”经费支出预算</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2020年安排三公经费支出预算0.60万元</w:t>
      </w:r>
      <w:r>
        <w:rPr>
          <w:rFonts w:hint="eastAsia" w:ascii="仿宋" w:hAnsi="仿宋" w:eastAsia="仿宋" w:cs="仿宋"/>
          <w:sz w:val="28"/>
          <w:szCs w:val="28"/>
          <w:lang w:eastAsia="zh-CN"/>
        </w:rPr>
        <w:t>，</w:t>
      </w:r>
      <w:r>
        <w:rPr>
          <w:rFonts w:hint="eastAsia" w:ascii="仿宋" w:hAnsi="仿宋" w:eastAsia="仿宋" w:cs="仿宋"/>
          <w:sz w:val="28"/>
          <w:szCs w:val="28"/>
        </w:rPr>
        <w:t>其中:公务接待费0.60万元。</w:t>
      </w:r>
    </w:p>
    <w:p>
      <w:pPr>
        <w:keepNext w:val="0"/>
        <w:keepLines w:val="0"/>
        <w:pageBreakBefore w:val="0"/>
        <w:widowControl w:val="0"/>
        <w:kinsoku/>
        <w:wordWrap/>
        <w:overflowPunct/>
        <w:topLinePunct w:val="0"/>
        <w:autoSpaceDE/>
        <w:autoSpaceDN/>
        <w:bidi w:val="0"/>
        <w:adjustRightInd/>
        <w:snapToGrid/>
        <w:spacing w:line="386" w:lineRule="exact"/>
        <w:ind w:firstLine="562" w:firstLineChars="200"/>
        <w:textAlignment w:val="auto"/>
        <w:rPr>
          <w:rFonts w:hint="eastAsia" w:ascii="仿宋" w:hAnsi="仿宋" w:eastAsia="仿宋" w:cs="仿宋"/>
          <w:b/>
          <w:bCs/>
          <w:sz w:val="28"/>
          <w:szCs w:val="28"/>
        </w:rPr>
      </w:pPr>
      <w:r>
        <w:rPr>
          <w:rFonts w:hint="eastAsia" w:ascii="仿宋" w:hAnsi="仿宋" w:eastAsia="仿宋" w:cs="仿宋"/>
          <w:b/>
          <w:bCs/>
          <w:sz w:val="28"/>
          <w:szCs w:val="28"/>
        </w:rPr>
        <w:t>（六）政府基金收支情况</w:t>
      </w:r>
    </w:p>
    <w:p>
      <w:pPr>
        <w:keepNext w:val="0"/>
        <w:keepLines w:val="0"/>
        <w:pageBreakBefore w:val="0"/>
        <w:widowControl w:val="0"/>
        <w:kinsoku/>
        <w:wordWrap/>
        <w:overflowPunct/>
        <w:topLinePunct w:val="0"/>
        <w:autoSpaceDE/>
        <w:autoSpaceDN/>
        <w:bidi w:val="0"/>
        <w:adjustRightInd/>
        <w:snapToGrid/>
        <w:spacing w:line="386" w:lineRule="exact"/>
        <w:ind w:firstLine="560" w:firstLineChars="200"/>
        <w:textAlignment w:val="auto"/>
        <w:rPr>
          <w:rFonts w:hint="eastAsia" w:ascii="仿宋" w:hAnsi="仿宋" w:eastAsia="仿宋" w:cs="仿宋"/>
          <w:sz w:val="28"/>
          <w:szCs w:val="28"/>
          <w:lang w:eastAsia="zh-CN"/>
        </w:rPr>
      </w:pPr>
      <w:r>
        <w:rPr>
          <w:rFonts w:hint="eastAsia" w:ascii="仿宋" w:hAnsi="仿宋" w:eastAsia="仿宋" w:cs="仿宋"/>
          <w:sz w:val="28"/>
          <w:szCs w:val="28"/>
          <w:lang w:eastAsia="zh-CN"/>
        </w:rPr>
        <w:t>无</w:t>
      </w:r>
      <w:r>
        <w:rPr>
          <w:rFonts w:hint="eastAsia" w:ascii="仿宋" w:hAnsi="仿宋" w:eastAsia="仿宋" w:cs="仿宋"/>
          <w:sz w:val="28"/>
          <w:szCs w:val="28"/>
        </w:rPr>
        <w:t>政府基金收支</w:t>
      </w:r>
      <w:r>
        <w:rPr>
          <w:rFonts w:hint="eastAsia" w:ascii="仿宋" w:hAnsi="仿宋" w:eastAsia="仿宋" w:cs="仿宋"/>
          <w:sz w:val="28"/>
          <w:szCs w:val="28"/>
          <w:lang w:eastAsia="zh-CN"/>
        </w:rPr>
        <w:t>。</w:t>
      </w:r>
    </w:p>
    <w:p>
      <w:pPr>
        <w:bidi w:val="0"/>
        <w:rPr>
          <w:rFonts w:hint="eastAsia" w:ascii="仿宋" w:hAnsi="仿宋" w:eastAsia="仿宋" w:cs="仿宋"/>
          <w:kern w:val="2"/>
          <w:sz w:val="21"/>
          <w:szCs w:val="21"/>
          <w:lang w:val="en-US" w:eastAsia="zh-CN" w:bidi="ar-SA"/>
        </w:rPr>
      </w:pPr>
    </w:p>
    <w:p>
      <w:pPr>
        <w:bidi w:val="0"/>
        <w:rPr>
          <w:rFonts w:hint="eastAsia" w:ascii="仿宋" w:hAnsi="仿宋" w:eastAsia="仿宋" w:cs="仿宋"/>
          <w:lang w:val="en-US" w:eastAsia="zh-CN"/>
        </w:rPr>
      </w:pPr>
    </w:p>
    <w:p>
      <w:pPr>
        <w:pStyle w:val="4"/>
        <w:keepNext w:val="0"/>
        <w:keepLines w:val="0"/>
        <w:widowControl/>
        <w:suppressLineNumbers w:val="0"/>
        <w:shd w:val="clear" w:fill="FFFFFF"/>
        <w:ind w:left="0" w:firstLine="0"/>
        <w:jc w:val="left"/>
        <w:rPr>
          <w:rFonts w:hint="eastAsia" w:ascii="仿宋" w:hAnsi="仿宋" w:eastAsia="仿宋" w:cs="仿宋"/>
          <w:b/>
          <w:bCs/>
          <w:i w:val="0"/>
          <w:caps w:val="0"/>
          <w:color w:val="333333"/>
          <w:spacing w:val="0"/>
          <w:sz w:val="32"/>
          <w:szCs w:val="32"/>
        </w:rPr>
      </w:pPr>
      <w:r>
        <w:rPr>
          <w:rFonts w:hint="eastAsia" w:ascii="仿宋" w:hAnsi="仿宋" w:eastAsia="仿宋" w:cs="仿宋"/>
          <w:b/>
          <w:bCs/>
          <w:i w:val="0"/>
          <w:caps w:val="0"/>
          <w:color w:val="333333"/>
          <w:spacing w:val="0"/>
          <w:sz w:val="32"/>
          <w:szCs w:val="32"/>
          <w:shd w:val="clear" w:fill="FFFFFF"/>
        </w:rPr>
        <w:t>第三部分 中国共产主义青年团景德镇市委员会</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　　20</w:t>
      </w:r>
      <w:r>
        <w:rPr>
          <w:rFonts w:hint="eastAsia" w:ascii="仿宋" w:hAnsi="仿宋" w:eastAsia="仿宋" w:cs="仿宋"/>
          <w:i w:val="0"/>
          <w:caps w:val="0"/>
          <w:color w:val="333333"/>
          <w:spacing w:val="0"/>
          <w:sz w:val="28"/>
          <w:szCs w:val="28"/>
          <w:shd w:val="clear" w:fill="FFFFFF"/>
          <w:lang w:val="en-US" w:eastAsia="zh-CN"/>
        </w:rPr>
        <w:t>20</w:t>
      </w:r>
      <w:r>
        <w:rPr>
          <w:rFonts w:hint="eastAsia" w:ascii="仿宋" w:hAnsi="仿宋" w:eastAsia="仿宋" w:cs="仿宋"/>
          <w:i w:val="0"/>
          <w:caps w:val="0"/>
          <w:color w:val="333333"/>
          <w:spacing w:val="0"/>
          <w:sz w:val="28"/>
          <w:szCs w:val="28"/>
          <w:shd w:val="clear" w:fill="FFFFFF"/>
        </w:rPr>
        <w:t>年部门预算表八张表（详见附表） </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     </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　</w:t>
      </w:r>
      <w:r>
        <w:rPr>
          <w:rFonts w:hint="eastAsia" w:ascii="仿宋" w:hAnsi="仿宋" w:eastAsia="仿宋" w:cs="仿宋"/>
          <w:b/>
          <w:bCs/>
          <w:i w:val="0"/>
          <w:caps w:val="0"/>
          <w:color w:val="333333"/>
          <w:spacing w:val="0"/>
          <w:sz w:val="32"/>
          <w:szCs w:val="32"/>
          <w:shd w:val="clear" w:fill="FFFFFF"/>
        </w:rPr>
        <w:t>　第四部分 名词解释</w:t>
      </w:r>
    </w:p>
    <w:p>
      <w:pPr>
        <w:pStyle w:val="4"/>
        <w:widowControl/>
        <w:shd w:val="clear" w:color="auto" w:fill="FFFFFF"/>
        <w:ind w:left="640" w:hanging="560" w:hangingChars="200"/>
        <w:rPr>
          <w:rFonts w:hint="eastAsia" w:ascii="仿宋" w:hAnsi="仿宋" w:eastAsia="仿宋" w:cs="仿宋"/>
          <w:color w:val="333333"/>
          <w:sz w:val="28"/>
          <w:szCs w:val="28"/>
          <w:lang w:val="en-US" w:eastAsia="zh-CN"/>
        </w:rPr>
      </w:pPr>
      <w:r>
        <w:rPr>
          <w:rFonts w:hint="eastAsia" w:ascii="仿宋" w:hAnsi="仿宋" w:eastAsia="仿宋" w:cs="仿宋"/>
          <w:color w:val="333333"/>
          <w:sz w:val="28"/>
          <w:szCs w:val="28"/>
          <w:lang w:val="en-US" w:eastAsia="zh-CN"/>
        </w:rPr>
        <w:t>（一）收入科目                                             财政拨款反映市级财政当年拨付的资金。</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color w:val="333333"/>
          <w:sz w:val="28"/>
          <w:szCs w:val="28"/>
          <w:shd w:val="clear" w:color="auto" w:fill="FFFFFF"/>
          <w:lang w:eastAsia="zh-CN"/>
        </w:rPr>
        <w:t>（二）支出科目</w:t>
      </w:r>
      <w:r>
        <w:rPr>
          <w:rFonts w:hint="eastAsia" w:ascii="仿宋" w:hAnsi="仿宋" w:eastAsia="仿宋" w:cs="仿宋"/>
          <w:color w:val="333333"/>
          <w:sz w:val="28"/>
          <w:szCs w:val="28"/>
          <w:shd w:val="clear" w:color="auto" w:fill="FFFFFF"/>
          <w:lang w:val="en-US" w:eastAsia="zh-CN"/>
        </w:rPr>
        <w:t xml:space="preserve"> </w:t>
      </w:r>
    </w:p>
    <w:p>
      <w:pPr>
        <w:pStyle w:val="4"/>
        <w:keepNext w:val="0"/>
        <w:keepLines w:val="0"/>
        <w:widowControl/>
        <w:suppressLineNumbers w:val="0"/>
        <w:shd w:val="clear" w:fill="FFFFFF"/>
        <w:ind w:left="0" w:firstLine="0"/>
        <w:jc w:val="left"/>
        <w:rPr>
          <w:rFonts w:hint="eastAsia" w:ascii="仿宋" w:hAnsi="仿宋" w:eastAsia="仿宋" w:cs="仿宋"/>
          <w:i w:val="0"/>
          <w:caps w:val="0"/>
          <w:color w:val="333333"/>
          <w:spacing w:val="0"/>
          <w:sz w:val="28"/>
          <w:szCs w:val="28"/>
        </w:rPr>
      </w:pPr>
      <w:r>
        <w:rPr>
          <w:rFonts w:hint="eastAsia" w:ascii="仿宋" w:hAnsi="仿宋" w:eastAsia="仿宋" w:cs="仿宋"/>
          <w:i w:val="0"/>
          <w:caps w:val="0"/>
          <w:color w:val="333333"/>
          <w:spacing w:val="0"/>
          <w:sz w:val="28"/>
          <w:szCs w:val="28"/>
          <w:shd w:val="clear" w:fill="FFFFFF"/>
        </w:rPr>
        <w:t>　　科目编码2012901行政运行（群众团体事务）反映行政单位（包括实行公务员管理的事业单位）的基本支出。科目编码2012902一般行政管理事务（群众团体事务）反映行政单位（包括实行公务员管理的事业单位）未单独设置项级科目的其他项目支出。科目编码2012950事业运行（群众团体事务）反映事业单位的基本支出，不包括行政单位（包括实行公务员管理的事业单位）后勤服务中心、医务室等附属事业单位。</w:t>
      </w:r>
      <w:r>
        <w:rPr>
          <w:rFonts w:hint="eastAsia" w:ascii="仿宋" w:hAnsi="仿宋" w:eastAsia="仿宋" w:cs="仿宋"/>
          <w:i w:val="0"/>
          <w:caps w:val="0"/>
          <w:color w:val="333333"/>
          <w:spacing w:val="0"/>
          <w:sz w:val="28"/>
          <w:szCs w:val="28"/>
          <w:shd w:val="clear" w:fill="FFFFFF"/>
          <w:lang w:eastAsia="zh-CN"/>
        </w:rPr>
        <w:t>科目编码</w:t>
      </w:r>
      <w:r>
        <w:rPr>
          <w:rFonts w:hint="eastAsia" w:ascii="仿宋" w:hAnsi="仿宋" w:eastAsia="仿宋" w:cs="仿宋"/>
          <w:i w:val="0"/>
          <w:caps w:val="0"/>
          <w:color w:val="333333"/>
          <w:spacing w:val="0"/>
          <w:sz w:val="28"/>
          <w:szCs w:val="28"/>
          <w:shd w:val="clear" w:fill="FFFFFF"/>
          <w:lang w:val="en-US" w:eastAsia="zh-CN"/>
        </w:rPr>
        <w:t>2013602一般行政管理事务（其他共产党事务支出）反映行政单位（包括实行公务员管理的事业单位）未单独设置项级科目的其他项目支出。</w:t>
      </w:r>
      <w:r>
        <w:rPr>
          <w:rFonts w:hint="eastAsia" w:ascii="仿宋" w:hAnsi="仿宋" w:eastAsia="仿宋" w:cs="仿宋"/>
          <w:i w:val="0"/>
          <w:caps w:val="0"/>
          <w:color w:val="333333"/>
          <w:spacing w:val="0"/>
          <w:sz w:val="28"/>
          <w:szCs w:val="28"/>
          <w:shd w:val="clear" w:fill="FFFFFF"/>
        </w:rPr>
        <w:t>科目编码2080505机关事业单位基本养老保险缴费支出反映机关事业单位实施养老保险制度由单位缴纳的基本养老保险费支出。</w:t>
      </w:r>
      <w:r>
        <w:rPr>
          <w:rFonts w:hint="eastAsia" w:ascii="仿宋" w:hAnsi="仿宋" w:eastAsia="仿宋" w:cs="仿宋"/>
          <w:i w:val="0"/>
          <w:caps w:val="0"/>
          <w:color w:val="333333"/>
          <w:spacing w:val="0"/>
          <w:sz w:val="28"/>
          <w:szCs w:val="28"/>
          <w:shd w:val="clear" w:fill="FFFFFF"/>
          <w:lang w:eastAsia="zh-CN"/>
        </w:rPr>
        <w:t>科目编码</w:t>
      </w:r>
      <w:r>
        <w:rPr>
          <w:rFonts w:hint="eastAsia" w:ascii="仿宋" w:hAnsi="仿宋" w:eastAsia="仿宋" w:cs="仿宋"/>
          <w:i w:val="0"/>
          <w:caps w:val="0"/>
          <w:color w:val="333333"/>
          <w:spacing w:val="0"/>
          <w:sz w:val="28"/>
          <w:szCs w:val="28"/>
          <w:shd w:val="clear" w:fill="FFFFFF"/>
          <w:lang w:val="en-US" w:eastAsia="zh-CN"/>
        </w:rPr>
        <w:t>2101101行政单位医疗反映财政部门安排的行政单位（包括实行公务员管理的事业单位）基本医疗保险缴费经费，未参加医疗保险的行政单位的公费医疗经费，按国家规定享受离休人员、红军老战士待遇的医疗经费。科目编码2101102事业单位医疗反映财政部门安排的事业单位基本医疗保险缴费经费，未参加医疗保险的事业单位的公费医疗经费，按照国家规定享受离休人员待遇的医疗经费。</w:t>
      </w:r>
      <w:r>
        <w:rPr>
          <w:rFonts w:hint="eastAsia" w:ascii="仿宋" w:hAnsi="仿宋" w:eastAsia="仿宋" w:cs="仿宋"/>
          <w:i w:val="0"/>
          <w:caps w:val="0"/>
          <w:color w:val="333333"/>
          <w:spacing w:val="0"/>
          <w:sz w:val="28"/>
          <w:szCs w:val="28"/>
          <w:shd w:val="clear" w:fill="FFFFFF"/>
        </w:rPr>
        <w:t>科目编码2210201住房公积金反映行政事业单位按人力资源和社会保障部、财政部规定的基本工资和津贴补贴以及规定比例为职工缴纳的住房公积金。</w:t>
      </w:r>
    </w:p>
    <w:p>
      <w:pPr>
        <w:bidi w:val="0"/>
        <w:ind w:firstLine="478" w:firstLineChars="0"/>
        <w:jc w:val="left"/>
        <w:rPr>
          <w:rFonts w:hint="eastAsia"/>
          <w:lang w:val="en-US" w:eastAsia="zh-CN"/>
        </w:rPr>
      </w:pPr>
    </w:p>
    <w:p>
      <w:pPr>
        <w:pStyle w:val="2"/>
        <w:pageBreakBefore w:val="0"/>
        <w:widowControl w:val="0"/>
        <w:kinsoku/>
        <w:wordWrap/>
        <w:overflowPunct/>
        <w:topLinePunct w:val="0"/>
        <w:autoSpaceDE/>
        <w:autoSpaceDN/>
        <w:bidi w:val="0"/>
        <w:adjustRightInd/>
        <w:snapToGrid/>
        <w:ind w:firstLine="643" w:firstLineChars="200"/>
        <w:textAlignment w:val="auto"/>
        <w:rPr>
          <w:rFonts w:ascii="仿宋_GB2312" w:hAnsi="宋体" w:eastAsia="仿宋_GB2312" w:cs="Times New Roman"/>
        </w:rPr>
      </w:pPr>
    </w:p>
    <w:p>
      <w:pPr>
        <w:pStyle w:val="2"/>
        <w:pageBreakBefore w:val="0"/>
        <w:widowControl w:val="0"/>
        <w:kinsoku/>
        <w:wordWrap/>
        <w:overflowPunct/>
        <w:topLinePunct w:val="0"/>
        <w:autoSpaceDE/>
        <w:autoSpaceDN/>
        <w:bidi w:val="0"/>
        <w:adjustRightInd/>
        <w:snapToGrid/>
        <w:ind w:firstLine="643" w:firstLineChars="200"/>
        <w:textAlignment w:val="auto"/>
        <w:rPr>
          <w:rFonts w:ascii="仿宋_GB2312" w:hAnsi="宋体" w:eastAsia="仿宋_GB2312" w:cs="Times New Roman"/>
        </w:rPr>
      </w:pPr>
    </w:p>
    <w:p>
      <w:pPr>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p>
    <w:p>
      <w:pPr>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p>
    <w:p>
      <w:pPr>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p>
    <w:p>
      <w:pPr>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p>
    <w:p>
      <w:pPr>
        <w:pageBreakBefore w:val="0"/>
        <w:widowControl w:val="0"/>
        <w:kinsoku/>
        <w:wordWrap/>
        <w:overflowPunct/>
        <w:topLinePunct w:val="0"/>
        <w:autoSpaceDE/>
        <w:autoSpaceDN/>
        <w:bidi w:val="0"/>
        <w:adjustRightInd/>
        <w:snapToGrid/>
        <w:ind w:firstLine="640" w:firstLineChars="200"/>
        <w:textAlignment w:val="auto"/>
        <w:rPr>
          <w:rFonts w:ascii="仿宋_GB2312" w:eastAsia="仿宋_GB2312" w:cs="Times New Roman"/>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7"/>
        <w:rFonts w:cs="Times New Roman"/>
      </w:rPr>
    </w:pPr>
    <w:r>
      <w:rPr>
        <w:rStyle w:val="7"/>
      </w:rPr>
      <w:fldChar w:fldCharType="begin"/>
    </w:r>
    <w:r>
      <w:rPr>
        <w:rStyle w:val="7"/>
      </w:rPr>
      <w:instrText xml:space="preserve">PAGE  </w:instrText>
    </w:r>
    <w:r>
      <w:rPr>
        <w:rStyle w:val="7"/>
      </w:rPr>
      <w:fldChar w:fldCharType="separate"/>
    </w:r>
    <w:r>
      <w:rPr>
        <w:rStyle w:val="7"/>
      </w:rPr>
      <w:t>1</w:t>
    </w:r>
    <w:r>
      <w:rPr>
        <w:rStyle w:val="7"/>
      </w:rPr>
      <w:fldChar w:fldCharType="end"/>
    </w:r>
  </w:p>
  <w:p>
    <w:pPr>
      <w:pStyle w:val="3"/>
      <w:rPr>
        <w:rFonts w:cs="Times New Roma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19076E1D"/>
    <w:rsid w:val="000429DB"/>
    <w:rsid w:val="00066060"/>
    <w:rsid w:val="000F14F5"/>
    <w:rsid w:val="008110CC"/>
    <w:rsid w:val="00C04C9A"/>
    <w:rsid w:val="00CB427A"/>
    <w:rsid w:val="00F500B9"/>
    <w:rsid w:val="01407008"/>
    <w:rsid w:val="02011633"/>
    <w:rsid w:val="0215426D"/>
    <w:rsid w:val="022502CD"/>
    <w:rsid w:val="03D6520D"/>
    <w:rsid w:val="042C546D"/>
    <w:rsid w:val="046947D9"/>
    <w:rsid w:val="05157E55"/>
    <w:rsid w:val="06D470CA"/>
    <w:rsid w:val="07812979"/>
    <w:rsid w:val="08EE0B31"/>
    <w:rsid w:val="0A684154"/>
    <w:rsid w:val="0CB044AE"/>
    <w:rsid w:val="0CC63EA8"/>
    <w:rsid w:val="0CDF41C3"/>
    <w:rsid w:val="0F0251D8"/>
    <w:rsid w:val="0F4237DB"/>
    <w:rsid w:val="0F500A4C"/>
    <w:rsid w:val="0F5469B9"/>
    <w:rsid w:val="0FCB58D0"/>
    <w:rsid w:val="100004EB"/>
    <w:rsid w:val="11075F72"/>
    <w:rsid w:val="11427CB1"/>
    <w:rsid w:val="11454C58"/>
    <w:rsid w:val="118503F4"/>
    <w:rsid w:val="120B7CFB"/>
    <w:rsid w:val="129741B5"/>
    <w:rsid w:val="13585682"/>
    <w:rsid w:val="13692EAB"/>
    <w:rsid w:val="139E3D52"/>
    <w:rsid w:val="149737B8"/>
    <w:rsid w:val="14F22596"/>
    <w:rsid w:val="15000B4F"/>
    <w:rsid w:val="16F34873"/>
    <w:rsid w:val="174469B9"/>
    <w:rsid w:val="17F56772"/>
    <w:rsid w:val="18AF2ACF"/>
    <w:rsid w:val="18F52C56"/>
    <w:rsid w:val="19076E1D"/>
    <w:rsid w:val="1AE23891"/>
    <w:rsid w:val="1B913916"/>
    <w:rsid w:val="1BB272C7"/>
    <w:rsid w:val="1C2639DE"/>
    <w:rsid w:val="1CA63E33"/>
    <w:rsid w:val="1D2F0D8C"/>
    <w:rsid w:val="1DCA17AA"/>
    <w:rsid w:val="1EBD751D"/>
    <w:rsid w:val="1ED81C5A"/>
    <w:rsid w:val="1F361D31"/>
    <w:rsid w:val="205B4410"/>
    <w:rsid w:val="21FF3BF2"/>
    <w:rsid w:val="22B32C74"/>
    <w:rsid w:val="22D1085E"/>
    <w:rsid w:val="230737C4"/>
    <w:rsid w:val="25911C8F"/>
    <w:rsid w:val="25A65ADF"/>
    <w:rsid w:val="25C00D36"/>
    <w:rsid w:val="25FC6C2E"/>
    <w:rsid w:val="26087612"/>
    <w:rsid w:val="26A84DB5"/>
    <w:rsid w:val="26BE2CE2"/>
    <w:rsid w:val="28046B2A"/>
    <w:rsid w:val="29730025"/>
    <w:rsid w:val="299D3AEC"/>
    <w:rsid w:val="29A44C57"/>
    <w:rsid w:val="2A465205"/>
    <w:rsid w:val="2B987DF3"/>
    <w:rsid w:val="2C254BFA"/>
    <w:rsid w:val="2DBB222D"/>
    <w:rsid w:val="2E072ABB"/>
    <w:rsid w:val="2E3D7B0D"/>
    <w:rsid w:val="2E8F6B8B"/>
    <w:rsid w:val="2EEF0715"/>
    <w:rsid w:val="2F1247C3"/>
    <w:rsid w:val="2FE42ECB"/>
    <w:rsid w:val="30F7187E"/>
    <w:rsid w:val="31567135"/>
    <w:rsid w:val="32955BCA"/>
    <w:rsid w:val="330A095E"/>
    <w:rsid w:val="33E97301"/>
    <w:rsid w:val="33F45B8D"/>
    <w:rsid w:val="344C4CEC"/>
    <w:rsid w:val="34502C6A"/>
    <w:rsid w:val="34C26726"/>
    <w:rsid w:val="35214D06"/>
    <w:rsid w:val="3568481A"/>
    <w:rsid w:val="3656023B"/>
    <w:rsid w:val="37D90B6E"/>
    <w:rsid w:val="38D2177B"/>
    <w:rsid w:val="38F07A53"/>
    <w:rsid w:val="391A6DF6"/>
    <w:rsid w:val="39681B60"/>
    <w:rsid w:val="397403B4"/>
    <w:rsid w:val="39CE2774"/>
    <w:rsid w:val="3A013FC9"/>
    <w:rsid w:val="3AB7743C"/>
    <w:rsid w:val="3D88341C"/>
    <w:rsid w:val="3D94467B"/>
    <w:rsid w:val="3E063278"/>
    <w:rsid w:val="3E0E653C"/>
    <w:rsid w:val="3F1F634D"/>
    <w:rsid w:val="3FD24B42"/>
    <w:rsid w:val="410D5E5F"/>
    <w:rsid w:val="415522E9"/>
    <w:rsid w:val="416C1D4D"/>
    <w:rsid w:val="41ED4F50"/>
    <w:rsid w:val="424C5AE3"/>
    <w:rsid w:val="43AB3CC9"/>
    <w:rsid w:val="44532ED5"/>
    <w:rsid w:val="449238A9"/>
    <w:rsid w:val="44932327"/>
    <w:rsid w:val="44D22F5B"/>
    <w:rsid w:val="46B25F4A"/>
    <w:rsid w:val="46CB34E4"/>
    <w:rsid w:val="48BE100A"/>
    <w:rsid w:val="496A459F"/>
    <w:rsid w:val="4ACA268D"/>
    <w:rsid w:val="4BE9754F"/>
    <w:rsid w:val="4C775015"/>
    <w:rsid w:val="4D875A9E"/>
    <w:rsid w:val="4E001DDC"/>
    <w:rsid w:val="4F2E6B7E"/>
    <w:rsid w:val="4FDB3395"/>
    <w:rsid w:val="51027CC7"/>
    <w:rsid w:val="51162B2F"/>
    <w:rsid w:val="51D64099"/>
    <w:rsid w:val="520509CF"/>
    <w:rsid w:val="530E34EE"/>
    <w:rsid w:val="53747103"/>
    <w:rsid w:val="53AF64D0"/>
    <w:rsid w:val="53B2322F"/>
    <w:rsid w:val="53D85100"/>
    <w:rsid w:val="53F1124C"/>
    <w:rsid w:val="53F94791"/>
    <w:rsid w:val="557B50A8"/>
    <w:rsid w:val="558A5E24"/>
    <w:rsid w:val="56126AD3"/>
    <w:rsid w:val="56A10AE0"/>
    <w:rsid w:val="57CC144D"/>
    <w:rsid w:val="586643FF"/>
    <w:rsid w:val="588B1139"/>
    <w:rsid w:val="58A216EB"/>
    <w:rsid w:val="593247CA"/>
    <w:rsid w:val="59C87C41"/>
    <w:rsid w:val="5A334D73"/>
    <w:rsid w:val="5A410893"/>
    <w:rsid w:val="5A8E013C"/>
    <w:rsid w:val="5AB824E6"/>
    <w:rsid w:val="5AC43447"/>
    <w:rsid w:val="5BA443E0"/>
    <w:rsid w:val="5C3532CA"/>
    <w:rsid w:val="5C8F4BD6"/>
    <w:rsid w:val="5D334A6F"/>
    <w:rsid w:val="5D89592D"/>
    <w:rsid w:val="5DF94E8F"/>
    <w:rsid w:val="5E4D6811"/>
    <w:rsid w:val="5E803E8F"/>
    <w:rsid w:val="5F084C34"/>
    <w:rsid w:val="60761147"/>
    <w:rsid w:val="607F4851"/>
    <w:rsid w:val="61145E91"/>
    <w:rsid w:val="61206676"/>
    <w:rsid w:val="62B20F12"/>
    <w:rsid w:val="62F4311F"/>
    <w:rsid w:val="64C7438B"/>
    <w:rsid w:val="65C55907"/>
    <w:rsid w:val="66242522"/>
    <w:rsid w:val="662D3C12"/>
    <w:rsid w:val="665853E8"/>
    <w:rsid w:val="66DA49B1"/>
    <w:rsid w:val="677042DD"/>
    <w:rsid w:val="677F7B3B"/>
    <w:rsid w:val="67CA4F37"/>
    <w:rsid w:val="68433E5B"/>
    <w:rsid w:val="699E565B"/>
    <w:rsid w:val="6A8904A7"/>
    <w:rsid w:val="6B7B7826"/>
    <w:rsid w:val="6CC353AF"/>
    <w:rsid w:val="6CDA5076"/>
    <w:rsid w:val="6D63350C"/>
    <w:rsid w:val="6DA66ECD"/>
    <w:rsid w:val="6E1C2540"/>
    <w:rsid w:val="6E647B53"/>
    <w:rsid w:val="6E70795C"/>
    <w:rsid w:val="70377C5F"/>
    <w:rsid w:val="76256C68"/>
    <w:rsid w:val="77B547A7"/>
    <w:rsid w:val="78970BE8"/>
    <w:rsid w:val="7A323E3C"/>
    <w:rsid w:val="7A6E47AC"/>
    <w:rsid w:val="7AC92637"/>
    <w:rsid w:val="7B4102B0"/>
    <w:rsid w:val="7B5E4491"/>
    <w:rsid w:val="7B8A77B5"/>
    <w:rsid w:val="7BC21DA6"/>
    <w:rsid w:val="7E0A7F26"/>
    <w:rsid w:val="7E3F1A5B"/>
    <w:rsid w:val="7F690A0A"/>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Calibri"/>
      <w:kern w:val="2"/>
      <w:sz w:val="21"/>
      <w:szCs w:val="21"/>
      <w:lang w:val="en-US" w:eastAsia="zh-CN" w:bidi="ar-SA"/>
    </w:rPr>
  </w:style>
  <w:style w:type="paragraph" w:styleId="2">
    <w:name w:val="heading 2"/>
    <w:basedOn w:val="1"/>
    <w:next w:val="1"/>
    <w:link w:val="10"/>
    <w:qFormat/>
    <w:uiPriority w:val="99"/>
    <w:pPr>
      <w:keepNext/>
      <w:keepLines/>
      <w:spacing w:line="416" w:lineRule="auto"/>
      <w:outlineLvl w:val="1"/>
    </w:pPr>
    <w:rPr>
      <w:rFonts w:ascii="Arial" w:hAnsi="Arial" w:eastAsia="黑体" w:cs="Arial"/>
      <w:b/>
      <w:bCs/>
      <w:sz w:val="32"/>
      <w:szCs w:val="32"/>
    </w:rPr>
  </w:style>
  <w:style w:type="character" w:default="1" w:styleId="6">
    <w:name w:val="Default Paragraph Font"/>
    <w:semiHidden/>
    <w:qFormat/>
    <w:uiPriority w:val="99"/>
  </w:style>
  <w:style w:type="table" w:default="1" w:styleId="5">
    <w:name w:val="Normal Table"/>
    <w:unhideWhenUsed/>
    <w:qFormat/>
    <w:uiPriority w:val="99"/>
    <w:tblPr>
      <w:tblCellMar>
        <w:top w:w="0" w:type="dxa"/>
        <w:left w:w="108" w:type="dxa"/>
        <w:bottom w:w="0" w:type="dxa"/>
        <w:right w:w="108" w:type="dxa"/>
      </w:tblCellMar>
    </w:tbl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7">
    <w:name w:val="page number"/>
    <w:basedOn w:val="6"/>
    <w:qFormat/>
    <w:uiPriority w:val="99"/>
  </w:style>
  <w:style w:type="character" w:styleId="8">
    <w:name w:val="FollowedHyperlink"/>
    <w:basedOn w:val="6"/>
    <w:unhideWhenUsed/>
    <w:qFormat/>
    <w:uiPriority w:val="99"/>
    <w:rPr>
      <w:color w:val="000000"/>
      <w:u w:val="none"/>
    </w:rPr>
  </w:style>
  <w:style w:type="character" w:styleId="9">
    <w:name w:val="Hyperlink"/>
    <w:basedOn w:val="6"/>
    <w:unhideWhenUsed/>
    <w:qFormat/>
    <w:uiPriority w:val="99"/>
    <w:rPr>
      <w:color w:val="000000"/>
      <w:u w:val="none"/>
    </w:rPr>
  </w:style>
  <w:style w:type="character" w:customStyle="1" w:styleId="10">
    <w:name w:val="Heading 2 Char"/>
    <w:basedOn w:val="6"/>
    <w:link w:val="2"/>
    <w:semiHidden/>
    <w:qFormat/>
    <w:uiPriority w:val="9"/>
    <w:rPr>
      <w:rFonts w:asciiTheme="majorHAnsi" w:hAnsiTheme="majorHAnsi" w:eastAsiaTheme="majorEastAsia" w:cstheme="majorBidi"/>
      <w:b/>
      <w:bCs/>
      <w:sz w:val="32"/>
      <w:szCs w:val="32"/>
    </w:rPr>
  </w:style>
  <w:style w:type="character" w:customStyle="1" w:styleId="11">
    <w:name w:val="Footer Char"/>
    <w:basedOn w:val="6"/>
    <w:link w:val="3"/>
    <w:semiHidden/>
    <w:qFormat/>
    <w:uiPriority w:val="99"/>
    <w:rPr>
      <w:rFonts w:cs="Calibri"/>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Template>
  <Company>微软中国</Company>
  <Pages>6</Pages>
  <Words>353</Words>
  <Characters>2015</Characters>
  <Lines>0</Lines>
  <Paragraphs>0</Paragraphs>
  <TotalTime>9</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2018-01-17T02:36:00Z</dcterms:created>
  <dc:creator>Administrator</dc:creator>
  <cp:lastModifiedBy>英华灿灿（江英）</cp:lastModifiedBy>
  <dcterms:modified xsi:type="dcterms:W3CDTF">2020-06-19T07:22:43Z</dcterms:modified>
  <dc:title>附件2：2018年市级部门预算说明和预算公开表</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